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CF" w:rsidRDefault="002811CF" w:rsidP="002811CF">
      <w:pPr>
        <w:spacing w:line="360" w:lineRule="auto"/>
        <w:jc w:val="right"/>
        <w:rPr>
          <w:rFonts w:ascii="Tahoma" w:hAnsi="Tahoma" w:cs="Tahoma"/>
          <w:b/>
          <w:caps/>
          <w:sz w:val="20"/>
          <w:szCs w:val="20"/>
        </w:rPr>
      </w:pPr>
      <w:r>
        <w:rPr>
          <w:rFonts w:ascii="Tahoma" w:hAnsi="Tahoma" w:cs="Tahoma"/>
          <w:b/>
          <w:caps/>
          <w:sz w:val="20"/>
          <w:szCs w:val="20"/>
        </w:rPr>
        <w:t>ZAŁĄCZNIK NR 2</w:t>
      </w:r>
    </w:p>
    <w:p w:rsidR="002811CF" w:rsidRDefault="002811CF" w:rsidP="002811CF">
      <w:pPr>
        <w:spacing w:line="360" w:lineRule="auto"/>
        <w:jc w:val="right"/>
        <w:rPr>
          <w:rFonts w:ascii="Tahoma" w:hAnsi="Tahoma" w:cs="Tahoma"/>
          <w:b/>
          <w:caps/>
          <w:sz w:val="20"/>
          <w:szCs w:val="20"/>
        </w:rPr>
      </w:pPr>
      <w:r>
        <w:rPr>
          <w:rFonts w:ascii="Tahoma" w:hAnsi="Tahoma" w:cs="Tahoma"/>
          <w:b/>
          <w:caps/>
          <w:sz w:val="20"/>
          <w:szCs w:val="20"/>
        </w:rPr>
        <w:t>Zadanie nr 5</w:t>
      </w:r>
    </w:p>
    <w:p w:rsidR="000F19D5" w:rsidRPr="002811CF" w:rsidRDefault="000F19D5" w:rsidP="000F19D5">
      <w:pPr>
        <w:spacing w:line="360" w:lineRule="auto"/>
        <w:jc w:val="center"/>
        <w:rPr>
          <w:rFonts w:ascii="Tahoma" w:hAnsi="Tahoma" w:cs="Tahoma"/>
          <w:b/>
          <w:caps/>
          <w:sz w:val="20"/>
          <w:szCs w:val="20"/>
        </w:rPr>
      </w:pPr>
      <w:r w:rsidRPr="002811CF">
        <w:rPr>
          <w:rFonts w:ascii="Tahoma" w:hAnsi="Tahoma" w:cs="Tahoma"/>
          <w:b/>
          <w:caps/>
          <w:sz w:val="20"/>
          <w:szCs w:val="20"/>
        </w:rPr>
        <w:t xml:space="preserve">aparatu DO ZNIECZULANIA OGÓLNEGO </w:t>
      </w:r>
      <w:r w:rsidR="002811CF">
        <w:rPr>
          <w:rFonts w:ascii="Tahoma" w:hAnsi="Tahoma" w:cs="Tahoma"/>
          <w:b/>
          <w:caps/>
          <w:sz w:val="20"/>
          <w:szCs w:val="20"/>
        </w:rPr>
        <w:t>Z MONITOROWANIEM</w:t>
      </w:r>
    </w:p>
    <w:p w:rsidR="000F19D5" w:rsidRPr="002811CF" w:rsidRDefault="000F19D5" w:rsidP="000F19D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979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7"/>
        <w:gridCol w:w="5387"/>
        <w:gridCol w:w="1701"/>
        <w:gridCol w:w="1885"/>
      </w:tblGrid>
      <w:tr w:rsidR="000F19D5" w:rsidRPr="002811CF" w:rsidTr="00F42BEE">
        <w:tc>
          <w:tcPr>
            <w:tcW w:w="817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caps/>
                <w:sz w:val="20"/>
                <w:szCs w:val="20"/>
              </w:rPr>
              <w:t>Wymagane parametry i funkcje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Wartości wymagane TAK / NIE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pStyle w:val="Nagwek1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Wartość oferowana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Urządzenie fabrycznie nowe, rok produkcji  </w:t>
            </w:r>
            <w:r w:rsidR="0062284D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Instrukcja w języku polskim dla aparatu i monitora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AC 230 V 50 Hz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Blat roboczy (wbudowane oświetlenie lub lampka)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Szuflada na drobne akcesoria, min 2 szuflady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Mobilny aparat, cztery koła jezdne, blokada min dwóch kół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Uchwyty na 2 butle 10L (O2 i N2O)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Reduktory nakręcane dla butli O2 i N2O, butle rezerwowe N2O i O2 w komplecie.</w:t>
            </w:r>
            <w:r w:rsidR="007672BC">
              <w:rPr>
                <w:rFonts w:ascii="Tahoma" w:hAnsi="Tahoma" w:cs="Tahoma"/>
                <w:sz w:val="20"/>
                <w:szCs w:val="20"/>
              </w:rPr>
              <w:t xml:space="preserve"> Reduktory do sieci centralnej.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Dodatkowe gniazda elektryczne. Min. 4 gniazda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Zasilanie gazowe (N2O, O2, Powietrze) z sieci centralnej i butli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awaryjne aparatu na min 45 min.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Parownik do sevofluranu</w:t>
            </w:r>
            <w:r w:rsidR="005C0E64" w:rsidRPr="002811CF">
              <w:rPr>
                <w:rFonts w:ascii="Tahoma" w:hAnsi="Tahoma" w:cs="Tahoma"/>
                <w:sz w:val="20"/>
                <w:szCs w:val="20"/>
              </w:rPr>
              <w:t xml:space="preserve"> z systemem Quik Fil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Wbudowana szyna do mocowania jednego lub dwóch parowników z blokadą uniemożliwiającą podaż dwóch gazów jednocześnie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Ssak zasilany O2 lub powietrzem z regulacją siły ssania i zbiornikiem min. 0.5 litra, na wydzielinę, w komplecie niezbędne akcesoria i dodatkowy zbiornik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Dodatkowy niezależny od aparatu wbudowany przepływomierz O2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System automatycznego utrzymywania stężenia tlenu w </w:t>
            </w:r>
            <w:r w:rsidRPr="002811CF">
              <w:rPr>
                <w:rFonts w:ascii="Tahoma" w:hAnsi="Tahoma" w:cs="Tahoma"/>
                <w:sz w:val="20"/>
                <w:szCs w:val="20"/>
              </w:rPr>
              <w:lastRenderedPageBreak/>
              <w:t>mieszaninie oddechowej z podtlenkiem azotu na poziomie min 23%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Minimalny przepływ świeżych gazów 200 ml/min lub niższy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Przepływomierze elektroniczne dla:O2, N2O, powietrza. Dopuszcza się mechaniczne przepływomierze podwójne dla O2, N2O i powietrza jeżeli jest możliwa prezentacja  wartości przepływów gazów na wyświetlaczu/wyświetlaczach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Kompensacja podatności i dopływu świeżych gazów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Test aparatu. Możliwość ominięcia testu – tzw. szybkie uruchomienie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rPr>
          <w:trHeight w:val="555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Kompaktowy układ oddechowy okrężny do wentylacji dorosłych i dzieci o niskiej podatności, łatwy do wymiany i sterylizacji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Obejście tlenowe o dużej wydajności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Regulowana ciśnieniowa zastawka bezpieczeństwa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Pochłaniacz CO2 o budowie przeziernej, wielorazowy,  o pojemności min. 1,5 l., </w:t>
            </w:r>
          </w:p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stosowania zbiorników jednorazowych.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Eliminacja gazów anestetycznych poza salę operacyjną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Regulowane ręcznie lub ustawiane automatycznie granice alarmowe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stosowania układów półotwartych, wyjście dodatkowe świeżych gazów. Podłączenie układu półotwartego bez rozłączania układu okrężnego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Układ pacjenta wielokrotnego użytku silikonowy, dla dorosłych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Respirator z kolorowym ekranem LCD, przekątna min 6”, sterowany przez ekran dotykowy i/lub pokrętło i przyciski ekranowe, ekran wbudowany w panel przedni aparatu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Prezentacja na ekranie minimum krzywej ciśnienia i parametrów wentylacji.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TRYBY WENTYLACJI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ręczny wentylacji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 spontaniczna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kontrolowana objętością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Wentylacja kontrolowana ciśnieniem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A0007F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</w:t>
            </w:r>
            <w:r w:rsidR="000F19D5" w:rsidRPr="002811CF">
              <w:rPr>
                <w:rFonts w:ascii="Tahoma" w:hAnsi="Tahoma" w:cs="Tahoma"/>
                <w:sz w:val="20"/>
                <w:szCs w:val="20"/>
              </w:rPr>
              <w:t>ryb PSV- wentylacja spontaniczna wspomagana ciśnieniem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SIMV/PS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REGULACJE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stosunku wdechu do wydechu – min 2:1  do 1:2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częstości oddechu min 4 do 60 odd./min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ciśnienia wdechu przy PCV od min 10 do 60 cm H2O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Reg. objętości oddechowej  min: 20 – 1400 ml w trybie objętościowym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Reg. Plateau wdechu w zakresie minimum 5-50% czas wdechu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Regulacja czułości wyzwalania min 1÷12 l/min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Regulacja ciśnienia PEEP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ALARMY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niskiej i wysokiej wentylacji minutowej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minimalnego i maksymalnego ciśnienia wdechowego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braku zasilania w energię elektryczną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braku zasilania w tlen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bezdechu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 niskiego i wysokiego stężenia tlenu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I OBRAZOWANIE (W APARACIE LUB MONITORZE)</w:t>
            </w:r>
          </w:p>
        </w:tc>
      </w:tr>
      <w:tr w:rsidR="000F19D5" w:rsidRPr="002811CF" w:rsidTr="00F42BEE">
        <w:trPr>
          <w:trHeight w:val="293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Stężenie tlenu w gazach oddechowych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Pomiar objętości oddechowej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Pomiar objętości minutowej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częstotliwości oddechów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Ciśnienia szczytowego, średniego i PEEP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Komunikacja w języku polskim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MONITOR PACJENTA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Producent/model/typ/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 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Zgłoszenie do rejestru wyrobów medycznych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Modułowa budowa systemu. Kolorowy ekran LCD TFT wyso</w:t>
            </w:r>
            <w:r w:rsidR="00A0007F" w:rsidRPr="002811CF">
              <w:rPr>
                <w:rFonts w:ascii="Tahoma" w:hAnsi="Tahoma" w:cs="Tahoma"/>
                <w:sz w:val="20"/>
                <w:szCs w:val="20"/>
              </w:rPr>
              <w:t>kiej jakości o przekątnej min 15</w:t>
            </w:r>
            <w:r w:rsidRPr="002811CF">
              <w:rPr>
                <w:rFonts w:ascii="Tahoma" w:hAnsi="Tahoma" w:cs="Tahoma"/>
                <w:sz w:val="20"/>
                <w:szCs w:val="20"/>
              </w:rPr>
              <w:t>”.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Zasilanie sieciowe 230 V. Wewnętrzny akumulator na min 1 h pracy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Prezentacja min. 6 krzywych dynamicznych na ekranie. Możliwość konfigurowania kolorów, kolejności wyświetlania krzywych i innych parametrów na ekranie przez użytkownika. Pamięć min. 5 konfiguracji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Komunikacja z użytkownikiem w języku polskim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Monitor przystosowany do pracy w sieci.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wyświetlania krzywych i danych cyfrowych z aparatu do znieczulania, dołączony przewód przyłączeniowy.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Bezpieczne i stabilne mocowanie monitora do aparatu. Wieszak monitora z regulacją obrotu, pochylenia i wysokości, w ofercie ujęte akcesoria do zamocowania monitora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POMIARY GAZOWE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stężenia CO2, N2O,O2 (pomiar paramagnetyczny)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stężenia lotnych anestetyków z automatyczną detekcją zastosowanego środka. Kalkulacja współczynnika MAC skorelowanego do wieku pacjenta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krzywych stężenia gazów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 komplecie osprzęt do pomiarów gazowych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EKG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Monitorowanie przy użyciu 3 i 5 lub większej ilości elektrod. Na wyposażeniu przewody EKG 3-odprowadzeniowe i 5-odprowadzeniowe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Filtr zakłóceń elektrochirurgicznych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częstości pracy serca w zakresie co najmniej 30 do 250 B/min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Podstawowa analiza arytmii i analiza odcinka ST co najmniej z 3 odprowadzeń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007F" w:rsidRPr="002811CF" w:rsidTr="009744A2">
        <w:tc>
          <w:tcPr>
            <w:tcW w:w="817" w:type="dxa"/>
          </w:tcPr>
          <w:p w:rsidR="00A0007F" w:rsidRPr="002811CF" w:rsidRDefault="00A0007F" w:rsidP="00A0007F">
            <w:pPr>
              <w:spacing w:after="0" w:line="24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73" w:type="dxa"/>
            <w:gridSpan w:val="3"/>
          </w:tcPr>
          <w:p w:rsidR="00A0007F" w:rsidRPr="002811CF" w:rsidRDefault="00A0007F" w:rsidP="00A000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ODDECHU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częstości oddechu w zakresie co najmniej od 6 od 120 R/min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Pomiar metodą impedancyjną. Wyświetlane wartości cyfrowe i fala oddechu.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CIŚNIENIA METODĄ  NIEINWAZYJNĄ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pomiarowy w zakresie min. 20-250 mmHg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Tryb pracy ręczny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Tryb pracy automatyczny – odstępy pomiarowe co najmniej od 3 do 240 minut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Mankiety duży, średni i mały dla dorosłych. Mankiet pediatryczny. Przewód łączący mankiet z modułem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INWAZYJNY POMIAR CIŚNIENIA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Dwa kanały pomiarowe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pomiaru min. od -40 do +300 mmHg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pomiaru i wpisu nazw różnych ciśnień w tym ciśnienia śródczaszkowego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Dwa przetworniki i 2 kable do pomiaru ciśnienia inwazyjnego kompatybilne z monitorem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SATURACJI I PLETYZMOGRAFIA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krzywej pletyzmograficznej oraz wartości saturacji i częstości pulsu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 komplecie przewód interfejsowy i standardowy czujnik na palec i na ucho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System monitorowania zapewniający poprawne pomiary przy słabym lub zakłóconym sygnale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TEMPERATURY (DWA KANAŁY)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Jednoczesne wyświetlanie wartości temperatur w dwóch punktach ciała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Wyświetlanie wartości temperatury różnicowej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 xml:space="preserve">Wielorazowe czujniki temperatury powierzchniowe i centralne. 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rPr>
          <w:trHeight w:val="260"/>
        </w:trPr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Zakres pomiaru min. 10-45˚C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POMIAR GŁĘBOKOŚCI UŚPIENIA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Moduł wykorzystujący technologię BIS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Pełne oprzyrządowanie, zestaw 25 elektrod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72BC" w:rsidRPr="002811CF" w:rsidTr="00F42BEE">
        <w:tc>
          <w:tcPr>
            <w:tcW w:w="817" w:type="dxa"/>
          </w:tcPr>
          <w:p w:rsidR="007672BC" w:rsidRPr="002811CF" w:rsidRDefault="007672BC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7672BC" w:rsidRPr="002811CF" w:rsidRDefault="007672BC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Monitor zwiotczenia mięśniowego</w:t>
            </w:r>
          </w:p>
        </w:tc>
        <w:tc>
          <w:tcPr>
            <w:tcW w:w="1701" w:type="dxa"/>
          </w:tcPr>
          <w:p w:rsidR="007672BC" w:rsidRPr="002811CF" w:rsidRDefault="007672BC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7672BC" w:rsidRPr="002811CF" w:rsidRDefault="007672BC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ROZBUDOWA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Możliwość rozbudowy o inne moduły pomiarowe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(opisać jakie)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ALARMY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Alarmy o różnych poziomach ważności, opisać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Ustawienie granic alarmowych wszystkich, parametrów ręczne i automatyczne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TRENDY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Przynajmniej 24 godzinowe trendy wszystkich mierzonych parametrów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(podać)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Rozdzielczość trendów 1 minuta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9790" w:type="dxa"/>
            <w:gridSpan w:val="4"/>
          </w:tcPr>
          <w:p w:rsidR="000F19D5" w:rsidRPr="002811CF" w:rsidRDefault="000F19D5" w:rsidP="00F42BEE">
            <w:pPr>
              <w:ind w:left="7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811CF">
              <w:rPr>
                <w:rFonts w:ascii="Tahoma" w:hAnsi="Tahoma" w:cs="Tahoma"/>
                <w:b/>
                <w:sz w:val="20"/>
                <w:szCs w:val="20"/>
              </w:rPr>
              <w:t>SERWIS</w:t>
            </w: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Czas przyjazdu serwisu najpóźniej do 24 godzin w dni robocze od zgłoszenia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19D5" w:rsidRPr="002811CF" w:rsidTr="00F42BEE">
        <w:tc>
          <w:tcPr>
            <w:tcW w:w="817" w:type="dxa"/>
          </w:tcPr>
          <w:p w:rsidR="000F19D5" w:rsidRPr="002811CF" w:rsidRDefault="000F19D5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Minimum jeden bezpłatny przegląd w okresie gwarancyjnym</w:t>
            </w:r>
          </w:p>
        </w:tc>
        <w:tc>
          <w:tcPr>
            <w:tcW w:w="1701" w:type="dxa"/>
          </w:tcPr>
          <w:p w:rsidR="000F19D5" w:rsidRPr="002811CF" w:rsidRDefault="000F19D5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811C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0F19D5" w:rsidRPr="002811CF" w:rsidRDefault="000F19D5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83834" w:rsidRPr="002811CF" w:rsidTr="00F42BEE">
        <w:tc>
          <w:tcPr>
            <w:tcW w:w="817" w:type="dxa"/>
          </w:tcPr>
          <w:p w:rsidR="00683834" w:rsidRPr="002811CF" w:rsidRDefault="00683834" w:rsidP="000F19D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683834" w:rsidRPr="002811CF" w:rsidRDefault="00683834" w:rsidP="00F42BE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</w:tcPr>
          <w:p w:rsidR="00683834" w:rsidRPr="002811CF" w:rsidRDefault="00683834" w:rsidP="00F42B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85" w:type="dxa"/>
          </w:tcPr>
          <w:p w:rsidR="00683834" w:rsidRPr="002811CF" w:rsidRDefault="00683834" w:rsidP="00F42B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F061B" w:rsidRDefault="00BF061B">
      <w:pPr>
        <w:rPr>
          <w:rFonts w:ascii="Tahoma" w:hAnsi="Tahoma" w:cs="Tahoma"/>
          <w:sz w:val="20"/>
          <w:szCs w:val="20"/>
        </w:rPr>
      </w:pPr>
    </w:p>
    <w:p w:rsidR="00DA079C" w:rsidRDefault="00DA079C" w:rsidP="00DA079C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DA079C" w:rsidRPr="002811CF" w:rsidRDefault="00DA079C">
      <w:pPr>
        <w:rPr>
          <w:rFonts w:ascii="Tahoma" w:hAnsi="Tahoma" w:cs="Tahoma"/>
          <w:sz w:val="20"/>
          <w:szCs w:val="20"/>
        </w:rPr>
      </w:pPr>
    </w:p>
    <w:sectPr w:rsidR="00DA079C" w:rsidRPr="002811CF" w:rsidSect="00EF3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F99" w:rsidRDefault="00964F99" w:rsidP="00B279A5">
      <w:pPr>
        <w:spacing w:after="0" w:line="240" w:lineRule="auto"/>
      </w:pPr>
      <w:r>
        <w:separator/>
      </w:r>
    </w:p>
  </w:endnote>
  <w:endnote w:type="continuationSeparator" w:id="1">
    <w:p w:rsidR="00964F99" w:rsidRDefault="00964F99" w:rsidP="00B27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F99" w:rsidRDefault="00964F99" w:rsidP="00B279A5">
      <w:pPr>
        <w:spacing w:after="0" w:line="240" w:lineRule="auto"/>
      </w:pPr>
      <w:r>
        <w:separator/>
      </w:r>
    </w:p>
  </w:footnote>
  <w:footnote w:type="continuationSeparator" w:id="1">
    <w:p w:rsidR="00964F99" w:rsidRDefault="00964F99" w:rsidP="00B27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 w:rsidP="00B279A5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5" w:rsidRDefault="00B279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B2284"/>
    <w:multiLevelType w:val="hybridMultilevel"/>
    <w:tmpl w:val="BA3C4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F19D5"/>
    <w:rsid w:val="000F19D5"/>
    <w:rsid w:val="002220ED"/>
    <w:rsid w:val="002811CF"/>
    <w:rsid w:val="00285C0E"/>
    <w:rsid w:val="005C0E64"/>
    <w:rsid w:val="0062284D"/>
    <w:rsid w:val="00683834"/>
    <w:rsid w:val="00694B66"/>
    <w:rsid w:val="007672BC"/>
    <w:rsid w:val="009365D0"/>
    <w:rsid w:val="00964F99"/>
    <w:rsid w:val="00A0007F"/>
    <w:rsid w:val="00AA606B"/>
    <w:rsid w:val="00AB54DC"/>
    <w:rsid w:val="00AF4738"/>
    <w:rsid w:val="00B279A5"/>
    <w:rsid w:val="00B828E5"/>
    <w:rsid w:val="00BA07F1"/>
    <w:rsid w:val="00BA7336"/>
    <w:rsid w:val="00BF061B"/>
    <w:rsid w:val="00D2100A"/>
    <w:rsid w:val="00DA079C"/>
    <w:rsid w:val="00DA18D2"/>
    <w:rsid w:val="00DB2B86"/>
    <w:rsid w:val="00E92E8C"/>
    <w:rsid w:val="00EA3F5E"/>
    <w:rsid w:val="00EF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91A"/>
  </w:style>
  <w:style w:type="paragraph" w:styleId="Nagwek1">
    <w:name w:val="heading 1"/>
    <w:basedOn w:val="Normalny"/>
    <w:next w:val="Normalny"/>
    <w:link w:val="Nagwek1Znak"/>
    <w:qFormat/>
    <w:rsid w:val="000F19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9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B2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9A5"/>
  </w:style>
  <w:style w:type="paragraph" w:styleId="Stopka">
    <w:name w:val="footer"/>
    <w:basedOn w:val="Normalny"/>
    <w:link w:val="StopkaZnak"/>
    <w:uiPriority w:val="99"/>
    <w:unhideWhenUsed/>
    <w:rsid w:val="00B2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9A5"/>
  </w:style>
  <w:style w:type="paragraph" w:styleId="Tekstdymka">
    <w:name w:val="Balloon Text"/>
    <w:basedOn w:val="Normalny"/>
    <w:link w:val="TekstdymkaZnak"/>
    <w:uiPriority w:val="99"/>
    <w:semiHidden/>
    <w:unhideWhenUsed/>
    <w:rsid w:val="00B2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1099</Words>
  <Characters>6600</Characters>
  <Application>Microsoft Office Word</Application>
  <DocSecurity>0</DocSecurity>
  <Lines>55</Lines>
  <Paragraphs>15</Paragraphs>
  <ScaleCrop>false</ScaleCrop>
  <Company>Your Company Name</Company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22</cp:revision>
  <cp:lastPrinted>2017-04-04T07:03:00Z</cp:lastPrinted>
  <dcterms:created xsi:type="dcterms:W3CDTF">2015-09-15T06:00:00Z</dcterms:created>
  <dcterms:modified xsi:type="dcterms:W3CDTF">2017-04-04T07:05:00Z</dcterms:modified>
</cp:coreProperties>
</file>